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53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30"/>
        <w:ind w:left="148"/>
      </w:pPr>
      <w:r>
        <w:rPr/>
        <w:t>(код</w:t>
      </w:r>
      <w:r>
        <w:rPr>
          <w:spacing w:val="12"/>
        </w:rPr>
        <w:t> </w:t>
      </w:r>
      <w:r>
        <w:rPr/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</w:pPr>
      <w:r>
        <w:rPr/>
        <w:t>ФІНАНСУВАННЯ</w:t>
      </w:r>
    </w:p>
    <w:p>
      <w:pPr>
        <w:spacing w:before="25"/>
        <w:ind w:left="137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55" w:lineRule="exact" w:before="68"/>
        <w:ind w:left="153"/>
      </w:pPr>
      <w:r>
        <w:rPr/>
        <w:br w:type="column"/>
      </w:r>
      <w:r>
        <w:rPr>
          <w:spacing w:val="-1"/>
          <w:w w:val="105"/>
        </w:rPr>
        <w:t>Додаток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2</w:t>
      </w:r>
    </w:p>
    <w:p>
      <w:pPr>
        <w:tabs>
          <w:tab w:pos="1088" w:val="left" w:leader="underscore"/>
        </w:tabs>
        <w:spacing w:line="132" w:lineRule="exact" w:before="0"/>
        <w:ind w:left="148" w:right="0" w:firstLine="0"/>
        <w:jc w:val="left"/>
        <w:rPr>
          <w:sz w:val="12"/>
        </w:rPr>
      </w:pPr>
      <w:r>
        <w:rPr>
          <w:sz w:val="12"/>
        </w:rPr>
        <w:t>до</w:t>
      </w:r>
      <w:r>
        <w:rPr>
          <w:spacing w:val="-3"/>
          <w:sz w:val="12"/>
        </w:rPr>
        <w:t> </w:t>
      </w:r>
      <w:r>
        <w:rPr>
          <w:sz w:val="12"/>
        </w:rPr>
        <w:t>рішення</w:t>
        <w:tab/>
      </w:r>
      <w:r>
        <w:rPr>
          <w:spacing w:val="-1"/>
          <w:sz w:val="12"/>
        </w:rPr>
        <w:t>сесії</w:t>
      </w:r>
      <w:r>
        <w:rPr>
          <w:spacing w:val="22"/>
          <w:sz w:val="12"/>
        </w:rPr>
        <w:t> </w:t>
      </w:r>
      <w:r>
        <w:rPr>
          <w:spacing w:val="-1"/>
          <w:sz w:val="12"/>
        </w:rPr>
        <w:t>Мелітопольської</w:t>
      </w:r>
      <w:r>
        <w:rPr>
          <w:spacing w:val="-6"/>
          <w:sz w:val="12"/>
        </w:rPr>
        <w:t> </w:t>
      </w:r>
      <w:r>
        <w:rPr>
          <w:spacing w:val="-1"/>
          <w:sz w:val="12"/>
        </w:rPr>
        <w:t>міської</w:t>
      </w:r>
      <w:r>
        <w:rPr>
          <w:spacing w:val="-6"/>
          <w:sz w:val="12"/>
        </w:rPr>
        <w:t> </w:t>
      </w:r>
      <w:r>
        <w:rPr>
          <w:spacing w:val="-1"/>
          <w:sz w:val="12"/>
        </w:rPr>
        <w:t>ради</w:t>
      </w:r>
      <w:r>
        <w:rPr>
          <w:spacing w:val="-4"/>
          <w:sz w:val="12"/>
        </w:rPr>
        <w:t> </w:t>
      </w:r>
      <w:r>
        <w:rPr>
          <w:sz w:val="12"/>
        </w:rPr>
        <w:t>Запорізької</w:t>
      </w:r>
    </w:p>
    <w:p>
      <w:pPr>
        <w:spacing w:before="20"/>
        <w:ind w:left="148" w:right="0" w:firstLine="0"/>
        <w:jc w:val="left"/>
        <w:rPr>
          <w:sz w:val="12"/>
        </w:rPr>
      </w:pPr>
      <w:r>
        <w:rPr>
          <w:sz w:val="12"/>
        </w:rPr>
        <w:t>області</w:t>
      </w:r>
      <w:r>
        <w:rPr>
          <w:spacing w:val="-4"/>
          <w:sz w:val="12"/>
        </w:rPr>
        <w:t> </w:t>
      </w:r>
      <w:r>
        <w:rPr>
          <w:sz w:val="12"/>
        </w:rPr>
        <w:t>____скликання</w:t>
      </w:r>
      <w:r>
        <w:rPr>
          <w:spacing w:val="4"/>
          <w:sz w:val="12"/>
        </w:rPr>
        <w:t> </w:t>
      </w:r>
      <w:r>
        <w:rPr>
          <w:sz w:val="12"/>
        </w:rPr>
        <w:t>від</w:t>
      </w:r>
      <w:r>
        <w:rPr>
          <w:spacing w:val="2"/>
          <w:sz w:val="12"/>
        </w:rPr>
        <w:t> </w:t>
      </w:r>
      <w:r>
        <w:rPr>
          <w:sz w:val="12"/>
        </w:rPr>
        <w:t>__________</w:t>
      </w:r>
      <w:r>
        <w:rPr>
          <w:spacing w:val="4"/>
          <w:sz w:val="12"/>
        </w:rPr>
        <w:t> </w:t>
      </w:r>
      <w:r>
        <w:rPr>
          <w:sz w:val="12"/>
        </w:rPr>
        <w:t>№_____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1"/>
        <w:ind w:left="0" w:right="148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40" w:bottom="280" w:left="980" w:right="700"/>
          <w:cols w:num="3" w:equalWidth="0">
            <w:col w:w="1082" w:space="2870"/>
            <w:col w:w="2569" w:space="278"/>
            <w:col w:w="3761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835"/>
        <w:gridCol w:w="1137"/>
        <w:gridCol w:w="1108"/>
        <w:gridCol w:w="1180"/>
        <w:gridCol w:w="1228"/>
      </w:tblGrid>
      <w:tr>
        <w:trPr>
          <w:trHeight w:val="17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153" w:righ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835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згідно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з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Класифікацією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фінансування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49" w:lineRule="exact" w:before="3"/>
              <w:ind w:left="6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70"/>
              <w:ind w:left="161" w:right="1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left="57"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у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тому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числі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0"/>
              <w:ind w:left="53"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розвитку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35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2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Фінансування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-98.675.383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-98.675.383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166.471.598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166.351.598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Одержано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Погашено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34.587.300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34.587.300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2"/>
              <w:rPr>
                <w:sz w:val="16"/>
              </w:rPr>
            </w:pPr>
            <w:r>
              <w:rPr>
                <w:sz w:val="16"/>
              </w:rPr>
              <w:t>4.949.000</w:t>
            </w:r>
          </w:p>
        </w:tc>
        <w:tc>
          <w:tcPr>
            <w:tcW w:w="1228" w:type="dxa"/>
          </w:tcPr>
          <w:p>
            <w:pPr>
              <w:pStyle w:val="TableParagraph"/>
              <w:ind w:left="48" w:right="27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9"/>
              <w:rPr>
                <w:sz w:val="16"/>
              </w:rPr>
            </w:pPr>
            <w:r>
              <w:rPr>
                <w:sz w:val="16"/>
              </w:rPr>
              <w:t>5.859.443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5.859.443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28" w:type="dxa"/>
          </w:tcPr>
          <w:p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</w:tcPr>
          <w:p>
            <w:pPr>
              <w:pStyle w:val="TableParagraph"/>
              <w:spacing w:line="240" w:lineRule="auto" w:before="90"/>
              <w:ind w:left="162" w:right="138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розвитку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(спеціального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фонду)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00"/>
              <w:ind w:left="148" w:right="139"/>
              <w:rPr>
                <w:sz w:val="16"/>
              </w:rPr>
            </w:pPr>
            <w:r>
              <w:rPr>
                <w:color w:val="FF0000"/>
                <w:sz w:val="16"/>
              </w:rPr>
              <w:t>133.262.683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-133.262.683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90"/>
              <w:ind w:left="148" w:right="155"/>
              <w:rPr>
                <w:sz w:val="16"/>
              </w:rPr>
            </w:pPr>
            <w:r>
              <w:rPr>
                <w:sz w:val="16"/>
              </w:rPr>
              <w:t>133.262.683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90"/>
              <w:ind w:left="22" w:right="27"/>
              <w:rPr>
                <w:sz w:val="16"/>
              </w:rPr>
            </w:pPr>
            <w:r>
              <w:rPr>
                <w:sz w:val="16"/>
              </w:rPr>
              <w:t>133.262.683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Зовнішнє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62" w:right="138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Позики,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надані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spacing w:line="163" w:lineRule="exact"/>
              <w:ind w:left="161" w:right="14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3" w:lineRule="exact"/>
              <w:ind w:left="43" w:right="2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Одержано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Погашено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8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-98.675.383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-98.675.383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180.421.598</w:t>
            </w:r>
          </w:p>
        </w:tc>
        <w:tc>
          <w:tcPr>
            <w:tcW w:w="1228" w:type="dxa"/>
          </w:tcPr>
          <w:p>
            <w:pPr>
              <w:pStyle w:val="TableParagraph"/>
              <w:ind w:left="4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180.301.598</w:t>
            </w:r>
          </w:p>
        </w:tc>
      </w:tr>
      <w:tr>
        <w:trPr>
          <w:trHeight w:val="297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4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Фінансування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-98.675.383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-98.675.383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138.211.683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138.091.683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Зміни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обсягів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-98.675.383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-98.675.383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138.211.683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138.091.683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9"/>
              <w:rPr>
                <w:sz w:val="16"/>
              </w:rPr>
            </w:pPr>
            <w:r>
              <w:rPr>
                <w:sz w:val="16"/>
              </w:rPr>
              <w:t>5.859.443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5.859.443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28" w:type="dxa"/>
          </w:tcPr>
          <w:p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62" w:right="138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розвитку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(спеціального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фонду)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-133.262.683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48" w:right="155"/>
              <w:rPr>
                <w:sz w:val="16"/>
              </w:rPr>
            </w:pPr>
            <w:r>
              <w:rPr>
                <w:sz w:val="16"/>
              </w:rPr>
              <w:t>133.262.683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2" w:right="27"/>
              <w:rPr>
                <w:sz w:val="16"/>
              </w:rPr>
            </w:pPr>
            <w:r>
              <w:rPr>
                <w:sz w:val="16"/>
              </w:rPr>
              <w:t>133.262.683</w:t>
            </w:r>
          </w:p>
        </w:tc>
      </w:tr>
      <w:tr>
        <w:trPr>
          <w:trHeight w:val="273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48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-98.675.383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-98.675.383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61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180.421.598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4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180.301.598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242" w:val="left" w:leader="none"/>
        </w:tabs>
        <w:spacing w:before="98"/>
        <w:ind w:left="148"/>
      </w:pPr>
      <w:r>
        <w:rPr/>
        <w:t>Начальник</w:t>
      </w:r>
      <w:r>
        <w:rPr>
          <w:spacing w:val="11"/>
        </w:rPr>
        <w:t> </w:t>
      </w:r>
      <w:r>
        <w:rPr/>
        <w:t>фінансового</w:t>
      </w:r>
      <w:r>
        <w:rPr>
          <w:spacing w:val="11"/>
        </w:rPr>
        <w:t> </w:t>
      </w:r>
      <w:r>
        <w:rPr/>
        <w:t>управління</w:t>
      </w:r>
      <w:r>
        <w:rPr>
          <w:spacing w:val="11"/>
        </w:rPr>
        <w:t> </w:t>
      </w:r>
      <w:r>
        <w:rPr/>
        <w:t>Мелітопольської</w:t>
      </w:r>
      <w:r>
        <w:rPr>
          <w:spacing w:val="2"/>
        </w:rPr>
        <w:t> </w:t>
      </w:r>
      <w:r>
        <w:rPr/>
        <w:t>міської</w:t>
      </w:r>
      <w:r>
        <w:rPr>
          <w:spacing w:val="2"/>
        </w:rPr>
        <w:t> </w:t>
      </w:r>
      <w:r>
        <w:rPr/>
        <w:t>ради</w:t>
        <w:tab/>
      </w:r>
      <w:r>
        <w:rPr>
          <w:spacing w:val="-1"/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ЧАБАН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9242" w:val="left" w:leader="none"/>
        </w:tabs>
        <w:spacing w:before="99"/>
        <w:ind w:left="148"/>
      </w:pPr>
      <w:r>
        <w:rPr/>
        <w:t>Секретар</w:t>
      </w:r>
      <w:r>
        <w:rPr>
          <w:spacing w:val="11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4"/>
        </w:rPr>
        <w:t> </w:t>
      </w:r>
      <w:r>
        <w:rPr/>
        <w:t>ради</w:t>
        <w:tab/>
      </w:r>
      <w:r>
        <w:rPr>
          <w:w w:val="105"/>
        </w:rPr>
        <w:t>Роман</w:t>
      </w:r>
      <w:r>
        <w:rPr>
          <w:spacing w:val="-10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2240" w:h="15840"/>
      <w:pgMar w:top="10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3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33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Creator</dc:creator>
  <dc:title>Untitled Spreadsheet</dc:title>
  <dcterms:created xsi:type="dcterms:W3CDTF">2021-09-15T05:18:15Z</dcterms:created>
  <dcterms:modified xsi:type="dcterms:W3CDTF">2021-09-15T05:18:15Z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